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349" w:type="dxa"/>
        <w:tblInd w:w="-856" w:type="dxa"/>
        <w:tblLook w:val="04A0" w:firstRow="1" w:lastRow="0" w:firstColumn="1" w:lastColumn="0" w:noHBand="0" w:noVBand="1"/>
      </w:tblPr>
      <w:tblGrid>
        <w:gridCol w:w="10349"/>
      </w:tblGrid>
      <w:tr w:rsidR="00DD17CA" w14:paraId="2EC5F95A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0D90A" w14:textId="4957E0EF" w:rsidR="00DD17CA" w:rsidRDefault="006F5742">
            <w:pPr>
              <w:tabs>
                <w:tab w:val="left" w:pos="3024"/>
              </w:tabs>
              <w:spacing w:after="0"/>
              <w:jc w:val="both"/>
            </w:pPr>
            <w:r>
              <w:t xml:space="preserve">Модули </w:t>
            </w:r>
            <w:proofErr w:type="gramStart"/>
            <w:r>
              <w:t xml:space="preserve">программы </w:t>
            </w:r>
            <w:r w:rsidR="00DD17CA">
              <w:t xml:space="preserve"> стажировки</w:t>
            </w:r>
            <w:proofErr w:type="gramEnd"/>
            <w:r w:rsidR="00DD17CA">
              <w:t xml:space="preserve">  </w:t>
            </w:r>
          </w:p>
        </w:tc>
      </w:tr>
      <w:tr w:rsidR="00DD17CA" w14:paraId="0287AA82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1126" w14:textId="77777777" w:rsidR="00DD17CA" w:rsidRDefault="00DD17CA">
            <w:pPr>
              <w:spacing w:after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Музейный менеджмент: теоретические подходы к музейному менеджменту и организации практики управления</w:t>
            </w:r>
          </w:p>
          <w:p w14:paraId="55797F66" w14:textId="77777777" w:rsidR="00DD17CA" w:rsidRDefault="00DD17CA">
            <w:pPr>
              <w:spacing w:after="0"/>
              <w:jc w:val="both"/>
            </w:pPr>
            <w:r>
              <w:t>- Сетевая коммуникация и вертикальные связи в системе управления учреждений культуры – совместимость и жизнеспособность.</w:t>
            </w:r>
          </w:p>
          <w:p w14:paraId="3119466B" w14:textId="77777777" w:rsidR="00DD17CA" w:rsidRDefault="00DD17CA">
            <w:pPr>
              <w:spacing w:after="0"/>
              <w:jc w:val="both"/>
            </w:pPr>
            <w:r>
              <w:t xml:space="preserve">- Новые команды в традиционных музеях. Системы сетевого и вертикального управления.  </w:t>
            </w:r>
          </w:p>
          <w:p w14:paraId="31AF52F6" w14:textId="77777777" w:rsidR="00DD17CA" w:rsidRDefault="00DD17CA">
            <w:pPr>
              <w:spacing w:after="0"/>
              <w:jc w:val="both"/>
            </w:pPr>
            <w:r>
              <w:t>- Технологии работы с локальными сообществами: кто к нам приходит и чего ожидает, что мы можем.</w:t>
            </w:r>
          </w:p>
          <w:p w14:paraId="2E0E63E9" w14:textId="77777777" w:rsidR="00DD17CA" w:rsidRDefault="00DD17CA">
            <w:pPr>
              <w:spacing w:after="0"/>
              <w:jc w:val="both"/>
            </w:pPr>
            <w:r>
              <w:t>- Опыт создания концепций исторических территорий: исследования, события, экспозиции, экология и многое другое.</w:t>
            </w:r>
          </w:p>
          <w:p w14:paraId="791BB27D" w14:textId="77777777" w:rsidR="00DD17CA" w:rsidRDefault="00DD17CA">
            <w:pPr>
              <w:spacing w:after="0"/>
              <w:jc w:val="both"/>
            </w:pPr>
            <w:r>
              <w:t>- Проектирование экспозиций нового формата.</w:t>
            </w:r>
          </w:p>
        </w:tc>
      </w:tr>
      <w:tr w:rsidR="00DD17CA" w14:paraId="71A54A91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2270" w14:textId="77777777" w:rsidR="00DD17CA" w:rsidRDefault="00DD17CA">
            <w:pPr>
              <w:spacing w:after="0"/>
              <w:ind w:firstLine="567"/>
              <w:jc w:val="center"/>
            </w:pPr>
            <w:r>
              <w:t>Содержание Оранжерейного комплекса и развитие инфраструктуры территории музеев-заповедников</w:t>
            </w:r>
          </w:p>
          <w:p w14:paraId="5AA8F170" w14:textId="77777777" w:rsidR="00DD17CA" w:rsidRDefault="00DD17CA">
            <w:pPr>
              <w:spacing w:after="0"/>
              <w:jc w:val="both"/>
            </w:pPr>
            <w:r>
              <w:t>- Работы по содержанию Оранжерейного комплекса, а также развитие инфраструктуры на территории Царицыно.</w:t>
            </w:r>
          </w:p>
          <w:p w14:paraId="1E432BDB" w14:textId="77777777" w:rsidR="00DD17CA" w:rsidRDefault="00DD17CA">
            <w:pPr>
              <w:spacing w:after="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Организация сервисов, услуг </w:t>
            </w:r>
            <w:proofErr w:type="gramStart"/>
            <w:r>
              <w:rPr>
                <w:shd w:val="clear" w:color="auto" w:fill="FFFFFF"/>
              </w:rPr>
              <w:t>и  мероприятий</w:t>
            </w:r>
            <w:proofErr w:type="gramEnd"/>
            <w:r>
              <w:rPr>
                <w:shd w:val="clear" w:color="auto" w:fill="FFFFFF"/>
              </w:rPr>
              <w:t xml:space="preserve"> на территории музея-заповедника  в рамках приносящей доход деятельности.</w:t>
            </w:r>
          </w:p>
        </w:tc>
      </w:tr>
      <w:tr w:rsidR="00DD17CA" w14:paraId="3CD6765F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08332" w14:textId="77777777" w:rsidR="00DD17CA" w:rsidRDefault="00DD17CA">
            <w:pPr>
              <w:spacing w:after="0"/>
              <w:jc w:val="both"/>
            </w:pPr>
            <w:r>
              <w:t>- Проблема определения пообъектного состава музея-заповедника и выявление объектов культурного наследия на примере музея-заповедника «Царицыно».</w:t>
            </w:r>
          </w:p>
          <w:p w14:paraId="49D5DE12" w14:textId="77777777" w:rsidR="00DD17CA" w:rsidRDefault="00DD17CA">
            <w:pPr>
              <w:spacing w:after="0"/>
              <w:jc w:val="both"/>
            </w:pPr>
            <w:r>
              <w:t>- Подготовка раздела об обеспечении сохранности объектов культурного наследия. Опыт музея-заповедника «Царицыно».</w:t>
            </w:r>
          </w:p>
        </w:tc>
      </w:tr>
      <w:tr w:rsidR="00DD17CA" w14:paraId="583D33B9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B420" w14:textId="77777777" w:rsidR="00DD17CA" w:rsidRDefault="00DD17CA">
            <w:pPr>
              <w:spacing w:after="0"/>
              <w:ind w:firstLine="567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сотрудничество</w:t>
            </w:r>
          </w:p>
          <w:p w14:paraId="1D55E414" w14:textId="77777777" w:rsidR="00DD17CA" w:rsidRDefault="00DD17CA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Международный опыт программ лояльности и опыт создания программы «Друзья Царицына».</w:t>
            </w:r>
          </w:p>
          <w:p w14:paraId="031B8C71" w14:textId="77777777" w:rsidR="00DD17CA" w:rsidRDefault="00DD17CA">
            <w:pPr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 Разработка международных проектов (на примере «Посольских вечеров в Царицыне»).</w:t>
            </w:r>
          </w:p>
          <w:p w14:paraId="52E76EDE" w14:textId="77777777" w:rsidR="00DD17CA" w:rsidRDefault="00DD17CA">
            <w:pPr>
              <w:spacing w:after="0"/>
              <w:jc w:val="both"/>
            </w:pPr>
            <w:r>
              <w:rPr>
                <w:rFonts w:eastAsia="Times New Roman"/>
              </w:rPr>
              <w:t>- Музейный опыт Великобритании (обзор).</w:t>
            </w:r>
          </w:p>
        </w:tc>
      </w:tr>
      <w:tr w:rsidR="00DD17CA" w14:paraId="7CDCE6E5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143B" w14:textId="77777777" w:rsidR="00DD17CA" w:rsidRDefault="00DD17CA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Гостеприимный музей</w:t>
            </w:r>
          </w:p>
          <w:p w14:paraId="3E60CACA" w14:textId="77777777" w:rsidR="00DD17CA" w:rsidRDefault="00DD17C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- Понятие инклюзии.</w:t>
            </w:r>
          </w:p>
          <w:p w14:paraId="2250796E" w14:textId="77777777" w:rsidR="00DD17CA" w:rsidRDefault="00DD17C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- Подготовка «первой линии».</w:t>
            </w:r>
          </w:p>
          <w:p w14:paraId="044F46D5" w14:textId="77777777" w:rsidR="00DD17CA" w:rsidRDefault="00DD17C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- Внутримузейная коммуникация.</w:t>
            </w:r>
          </w:p>
          <w:p w14:paraId="705D12FF" w14:textId="77777777" w:rsidR="00DD17CA" w:rsidRDefault="00DD17CA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proofErr w:type="spellStart"/>
            <w:r>
              <w:rPr>
                <w:szCs w:val="22"/>
              </w:rPr>
              <w:t>Межмузейная</w:t>
            </w:r>
            <w:proofErr w:type="spellEnd"/>
            <w:r>
              <w:rPr>
                <w:szCs w:val="22"/>
              </w:rPr>
              <w:t xml:space="preserve"> коммуникация.</w:t>
            </w:r>
          </w:p>
          <w:p w14:paraId="3DAEB4A0" w14:textId="77777777" w:rsidR="00DD17CA" w:rsidRDefault="00DD17CA">
            <w:pPr>
              <w:spacing w:after="0"/>
              <w:rPr>
                <w:rFonts w:eastAsia="Times New Roman"/>
              </w:rPr>
            </w:pPr>
          </w:p>
        </w:tc>
      </w:tr>
      <w:tr w:rsidR="00DD17CA" w14:paraId="06E72337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9A3B" w14:textId="77777777" w:rsidR="00DD17CA" w:rsidRDefault="00DD17CA">
            <w:pPr>
              <w:spacing w:after="0"/>
              <w:jc w:val="center"/>
            </w:pPr>
            <w:r>
              <w:t xml:space="preserve">Организационная </w:t>
            </w:r>
            <w:proofErr w:type="gramStart"/>
            <w:r>
              <w:t>структура  учреждения</w:t>
            </w:r>
            <w:proofErr w:type="gramEnd"/>
            <w:r>
              <w:t xml:space="preserve"> культуры на основе направлений деятельности</w:t>
            </w:r>
          </w:p>
          <w:p w14:paraId="5AAD9436" w14:textId="77777777" w:rsidR="00DD17CA" w:rsidRDefault="00DD17CA">
            <w:pPr>
              <w:spacing w:after="0"/>
              <w:jc w:val="both"/>
            </w:pPr>
            <w:r>
              <w:t xml:space="preserve">- Принципы формирования штатного расписания музея с учетом распределение функциональных обязанностей и рабочей нагрузки.  </w:t>
            </w:r>
          </w:p>
          <w:p w14:paraId="501BC018" w14:textId="77777777" w:rsidR="00DD17CA" w:rsidRDefault="00DD17CA">
            <w:pPr>
              <w:spacing w:after="0"/>
              <w:jc w:val="both"/>
              <w:rPr>
                <w:szCs w:val="22"/>
              </w:rPr>
            </w:pPr>
            <w:r>
              <w:t>- Построение внутренней системы тренингов, наставничества и адаптации работников в учреждении без привлечения сторонних экспертов.</w:t>
            </w:r>
          </w:p>
        </w:tc>
      </w:tr>
      <w:tr w:rsidR="00DD17CA" w14:paraId="01AD7FFB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FC9E" w14:textId="77777777" w:rsidR="00DD17CA" w:rsidRDefault="00DD17CA">
            <w:pPr>
              <w:spacing w:after="0"/>
              <w:jc w:val="center"/>
            </w:pPr>
            <w:r>
              <w:t>Музей как площадка коммерческой деятельности</w:t>
            </w:r>
          </w:p>
          <w:p w14:paraId="1383FB1D" w14:textId="77777777" w:rsidR="00DD17CA" w:rsidRDefault="00DD17CA">
            <w:pPr>
              <w:spacing w:after="0"/>
              <w:rPr>
                <w:szCs w:val="22"/>
              </w:rPr>
            </w:pPr>
            <w:r>
              <w:t xml:space="preserve"> - Планирование и проведение массовых мероприятий, корпоративных праздников и событий.</w:t>
            </w:r>
          </w:p>
        </w:tc>
      </w:tr>
      <w:tr w:rsidR="00DD17CA" w14:paraId="2C5EDA98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A9B0" w14:textId="77777777" w:rsidR="00DD17CA" w:rsidRDefault="00DD17CA">
            <w:pPr>
              <w:spacing w:after="0"/>
              <w:jc w:val="center"/>
            </w:pPr>
            <w:r>
              <w:lastRenderedPageBreak/>
              <w:t xml:space="preserve"> Организация музейного магазина - от концепции до воплощения на основе изучения опыта мировых музеев</w:t>
            </w:r>
          </w:p>
          <w:p w14:paraId="6C987F9B" w14:textId="77777777" w:rsidR="00DD17CA" w:rsidRDefault="00DD17CA">
            <w:pPr>
              <w:spacing w:after="0"/>
              <w:jc w:val="both"/>
            </w:pPr>
            <w:r>
              <w:t>- Определение стратегии наполнения музейного магазина (выбор тем, приоритеты) на основе стратегии развития музея. Сувенирная продукция как дополнительный инструмент маркетинга (сопровождение выставочных проектов</w:t>
            </w:r>
            <w:proofErr w:type="gramStart"/>
            <w:r>
              <w:t>),  кейсы</w:t>
            </w:r>
            <w:proofErr w:type="gramEnd"/>
            <w:r>
              <w:t xml:space="preserve"> создания сувенирных линеек - цикл от отбора экспонатов выставочных проектов для создания эскизов для коллекции до производства продукта.</w:t>
            </w:r>
          </w:p>
          <w:p w14:paraId="31643FC4" w14:textId="77777777" w:rsidR="00DD17CA" w:rsidRDefault="00DD17CA">
            <w:pPr>
              <w:spacing w:after="0"/>
              <w:jc w:val="both"/>
            </w:pPr>
            <w:r>
              <w:t>- Дизайн сувенирной продукции - различные инструменты (собственными силами, привлечение дизайнеров), координация рабочей группы в создании сувенирной линейки и музейного магазина на примере выставки «Путешествие из Петергофа в Царицыно».</w:t>
            </w:r>
          </w:p>
          <w:p w14:paraId="6DEF0FC0" w14:textId="77777777" w:rsidR="00DD17CA" w:rsidRDefault="00DD17CA">
            <w:pPr>
              <w:spacing w:after="0"/>
              <w:jc w:val="both"/>
            </w:pPr>
            <w:r>
              <w:t>- Организация договорной работы, отчетность.</w:t>
            </w:r>
          </w:p>
        </w:tc>
      </w:tr>
      <w:tr w:rsidR="00DD17CA" w14:paraId="6B769DBB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7BF2" w14:textId="77777777" w:rsidR="00DD17CA" w:rsidRDefault="00DD17CA">
            <w:pPr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Аудитория музея</w:t>
            </w:r>
          </w:p>
          <w:p w14:paraId="3BE0C2F0" w14:textId="77777777" w:rsidR="00DD17CA" w:rsidRDefault="00DD17CA" w:rsidP="00DD17CA">
            <w:pPr>
              <w:spacing w:after="0"/>
              <w:ind w:hanging="75"/>
            </w:pPr>
            <w:r>
              <w:rPr>
                <w:color w:val="000000"/>
                <w:shd w:val="clear" w:color="auto" w:fill="FFFFFF"/>
              </w:rPr>
              <w:t xml:space="preserve">- Изучение аудитории, выявление потребностей посетителей </w:t>
            </w:r>
          </w:p>
        </w:tc>
      </w:tr>
      <w:tr w:rsidR="00DD17CA" w14:paraId="47C32CDB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EA01" w14:textId="77777777" w:rsidR="00DD17CA" w:rsidRDefault="00DD17CA">
            <w:pPr>
              <w:spacing w:after="0"/>
              <w:jc w:val="center"/>
            </w:pPr>
            <w:r>
              <w:t>Работа со спонсорами различных проектов музея</w:t>
            </w:r>
          </w:p>
          <w:p w14:paraId="02B3E2D0" w14:textId="77777777" w:rsidR="00DD17CA" w:rsidRDefault="00DD17CA">
            <w:pPr>
              <w:spacing w:after="0"/>
              <w:jc w:val="both"/>
            </w:pPr>
            <w:r>
              <w:t>- Привлечение.</w:t>
            </w:r>
          </w:p>
          <w:p w14:paraId="4A10ECC0" w14:textId="77777777" w:rsidR="00DD17CA" w:rsidRDefault="00DD17CA">
            <w:pPr>
              <w:spacing w:after="0"/>
              <w:jc w:val="both"/>
            </w:pPr>
            <w:r>
              <w:t>- Формирование коммерческого предложения.</w:t>
            </w:r>
          </w:p>
          <w:p w14:paraId="06575B85" w14:textId="77777777" w:rsidR="00DD17CA" w:rsidRDefault="00DD17CA">
            <w:pPr>
              <w:spacing w:after="0"/>
              <w:jc w:val="both"/>
            </w:pPr>
            <w:r>
              <w:t>- Ценообразование рекламных услуг.</w:t>
            </w:r>
          </w:p>
          <w:p w14:paraId="605EB8A8" w14:textId="77777777" w:rsidR="00DD17CA" w:rsidRDefault="00DD17CA">
            <w:pPr>
              <w:spacing w:after="0"/>
              <w:jc w:val="both"/>
            </w:pPr>
            <w:r>
              <w:t>- Заключение спонсорского договора.</w:t>
            </w:r>
          </w:p>
          <w:p w14:paraId="2CDEFFD7" w14:textId="77777777" w:rsidR="00DD17CA" w:rsidRDefault="00DD17CA">
            <w:pPr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t>- Контроль за выполнением договорных обязательств.</w:t>
            </w:r>
          </w:p>
        </w:tc>
      </w:tr>
      <w:tr w:rsidR="00DD17CA" w14:paraId="4BACE89D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3D1F" w14:textId="77777777" w:rsidR="00DD17CA" w:rsidRDefault="00DD17CA">
            <w:pPr>
              <w:spacing w:after="0"/>
              <w:jc w:val="center"/>
            </w:pPr>
            <w:r>
              <w:t>Проектирование детского образовательного пространства в музее</w:t>
            </w:r>
          </w:p>
          <w:p w14:paraId="21238496" w14:textId="77777777" w:rsidR="00DD17CA" w:rsidRDefault="00DD17CA">
            <w:pPr>
              <w:spacing w:after="0"/>
            </w:pPr>
            <w:r>
              <w:t>- Разработка стратегии развития детского направления.  Разбор кейсов участников.</w:t>
            </w:r>
          </w:p>
          <w:p w14:paraId="6AA23C6A" w14:textId="77777777" w:rsidR="00DD17CA" w:rsidRDefault="00DD17CA">
            <w:pPr>
              <w:spacing w:after="0"/>
            </w:pPr>
            <w:r>
              <w:t>- Инфраструктура, политика гостеприимства.</w:t>
            </w:r>
          </w:p>
          <w:p w14:paraId="6CF4AB1C" w14:textId="77777777" w:rsidR="00DD17CA" w:rsidRDefault="00DD17CA">
            <w:pPr>
              <w:spacing w:after="0"/>
            </w:pPr>
            <w:r>
              <w:t>- Разработка музейно-образовательных программ и мероприятий, в том числе в формате онлайн.</w:t>
            </w:r>
          </w:p>
          <w:p w14:paraId="01555400" w14:textId="77777777" w:rsidR="00DD17CA" w:rsidRDefault="00DD17CA">
            <w:pPr>
              <w:spacing w:after="0"/>
            </w:pPr>
            <w:r>
              <w:t>- Продвижение детских программ;</w:t>
            </w:r>
          </w:p>
          <w:p w14:paraId="41843D2C" w14:textId="77777777" w:rsidR="00DD17CA" w:rsidRDefault="00DD17CA">
            <w:pPr>
              <w:spacing w:after="0"/>
            </w:pPr>
            <w:r>
              <w:t>- Адаптация выставок и экспозиций, инклюзивный подход.</w:t>
            </w:r>
          </w:p>
          <w:p w14:paraId="092B8B2B" w14:textId="77777777" w:rsidR="00DD17CA" w:rsidRDefault="00DD17C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Посещение пространства «Детский музей», осмотр и знакомство с экспозицией залов.</w:t>
            </w:r>
          </w:p>
          <w:p w14:paraId="6686A8D1" w14:textId="77777777" w:rsidR="00DD17CA" w:rsidRDefault="00DD17CA">
            <w:pPr>
              <w:spacing w:after="0"/>
              <w:rPr>
                <w:color w:val="000000"/>
                <w:shd w:val="clear" w:color="auto" w:fill="FFFFFF"/>
              </w:rPr>
            </w:pPr>
            <w:r>
              <w:t>- Аудитория «Детского музея» и перспективы развития и диалога с аудиторией.</w:t>
            </w:r>
          </w:p>
        </w:tc>
      </w:tr>
      <w:tr w:rsidR="00DD17CA" w14:paraId="7250CFB1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565C" w14:textId="77777777" w:rsidR="00DD17CA" w:rsidRDefault="00DD17CA">
            <w:pPr>
              <w:spacing w:after="0"/>
              <w:jc w:val="center"/>
            </w:pPr>
            <w:r>
              <w:t>Формирование доступной среды в музее</w:t>
            </w:r>
          </w:p>
          <w:p w14:paraId="5BACB341" w14:textId="77777777" w:rsidR="00DD17CA" w:rsidRDefault="00DD17CA">
            <w:pPr>
              <w:spacing w:after="0"/>
            </w:pPr>
            <w:r>
              <w:t>- Практика создания и поддержание доступной среды в музее, взаимодействие с целевой аудиторией.</w:t>
            </w:r>
          </w:p>
          <w:p w14:paraId="0B65A86C" w14:textId="77777777" w:rsidR="00DD17CA" w:rsidRDefault="00DD17CA">
            <w:pPr>
              <w:spacing w:after="0"/>
            </w:pPr>
            <w:r>
              <w:t>- Координационный совет по работе с посетителями с инвалидностью.</w:t>
            </w:r>
          </w:p>
          <w:p w14:paraId="55FAE89C" w14:textId="77777777" w:rsidR="00DD17CA" w:rsidRDefault="00DD17CA">
            <w:pPr>
              <w:spacing w:after="0"/>
            </w:pPr>
            <w:r>
              <w:t>- Система обучения сотрудников.</w:t>
            </w:r>
          </w:p>
          <w:p w14:paraId="15BA9D6A" w14:textId="77777777" w:rsidR="00DD17CA" w:rsidRDefault="00DD17CA">
            <w:pPr>
              <w:spacing w:after="0"/>
            </w:pPr>
            <w:r>
              <w:t>- Анкеты, паспорта доступности.</w:t>
            </w:r>
          </w:p>
          <w:p w14:paraId="33359ED6" w14:textId="77777777" w:rsidR="00DD17CA" w:rsidRDefault="00DD17CA">
            <w:pPr>
              <w:spacing w:after="0"/>
            </w:pPr>
            <w:r>
              <w:t>- Мотивация сотрудников.</w:t>
            </w:r>
          </w:p>
          <w:p w14:paraId="2B1B3B7B" w14:textId="77777777" w:rsidR="00DD17CA" w:rsidRDefault="00DD17CA">
            <w:pPr>
              <w:spacing w:after="0"/>
            </w:pPr>
            <w:r>
              <w:t>-Механизмы взаимодействия с партнерами из государственного и некоммерческого сектора.</w:t>
            </w:r>
          </w:p>
          <w:p w14:paraId="4EC598F4" w14:textId="77777777" w:rsidR="00DD17CA" w:rsidRDefault="00DD17CA">
            <w:pPr>
              <w:spacing w:after="0"/>
            </w:pPr>
            <w:r>
              <w:t>- Инклюзивные программы и мероприятия.</w:t>
            </w:r>
          </w:p>
        </w:tc>
      </w:tr>
      <w:tr w:rsidR="00DD17CA" w14:paraId="1F8A9C09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CE8C" w14:textId="77777777" w:rsidR="00DD17CA" w:rsidRDefault="00DD17CA">
            <w:pPr>
              <w:spacing w:after="0"/>
              <w:jc w:val="center"/>
            </w:pPr>
            <w:r>
              <w:t>Социокультурна реабилитация музейными средствами лиц с инвалидностью и социально неблагополучных граждан</w:t>
            </w:r>
          </w:p>
          <w:p w14:paraId="5D46A23B" w14:textId="77777777" w:rsidR="00DD17CA" w:rsidRDefault="00DD17CA">
            <w:pPr>
              <w:spacing w:after="0"/>
            </w:pPr>
            <w:r>
              <w:t>- Презентация инклюзивных музейно-образовательных программ и экскурсий для лиц инвалидностью разных категорий.</w:t>
            </w:r>
          </w:p>
          <w:p w14:paraId="79CA954F" w14:textId="77777777" w:rsidR="00DD17CA" w:rsidRDefault="00DD17CA">
            <w:pPr>
              <w:spacing w:after="0"/>
            </w:pPr>
            <w:r>
              <w:lastRenderedPageBreak/>
              <w:t>- Презентация проекта по предпрофессиональной подготовке подростков с РАС в ландшафтной сфере на базе Оранжерейного комплекса.</w:t>
            </w:r>
          </w:p>
          <w:p w14:paraId="6BCEFCC5" w14:textId="77777777" w:rsidR="00DD17CA" w:rsidRDefault="00DD17CA">
            <w:pPr>
              <w:spacing w:after="0"/>
            </w:pPr>
            <w:r>
              <w:t>-  П</w:t>
            </w:r>
            <w:r>
              <w:rPr>
                <w:color w:val="333333"/>
                <w:shd w:val="clear" w:color="auto" w:fill="FFFFFF"/>
              </w:rPr>
              <w:t>роект «Арт-продлёнка: терапия и инклюзия» по разработке адаптированных программ для детей с РАС.</w:t>
            </w:r>
          </w:p>
          <w:p w14:paraId="7EC4022E" w14:textId="77777777" w:rsidR="00DD17CA" w:rsidRDefault="00DD17CA">
            <w:pPr>
              <w:spacing w:after="0"/>
            </w:pPr>
            <w:r>
              <w:t xml:space="preserve">- Арт-терапевтический проект для наркозависимых и </w:t>
            </w:r>
            <w:proofErr w:type="spellStart"/>
            <w:r>
              <w:t>алкозависимых</w:t>
            </w:r>
            <w:proofErr w:type="spellEnd"/>
            <w:r>
              <w:t>: «Маленькие победы в Большом дворце».</w:t>
            </w:r>
          </w:p>
          <w:p w14:paraId="40949F37" w14:textId="77777777" w:rsidR="00DD17CA" w:rsidRDefault="00DD17CA">
            <w:pPr>
              <w:spacing w:after="0"/>
              <w:rPr>
                <w:color w:val="000000"/>
                <w:shd w:val="clear" w:color="auto" w:fill="FFFFFF"/>
              </w:rPr>
            </w:pPr>
            <w:r>
              <w:t xml:space="preserve">- Учебный день в музее для ресурсных классов и коррекционных школ.  </w:t>
            </w:r>
          </w:p>
        </w:tc>
      </w:tr>
      <w:tr w:rsidR="00DD17CA" w14:paraId="3A67D481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DF6B" w14:textId="77777777" w:rsidR="00DD17CA" w:rsidRDefault="00DD17CA">
            <w:pPr>
              <w:spacing w:after="0"/>
              <w:jc w:val="center"/>
            </w:pPr>
            <w:r>
              <w:lastRenderedPageBreak/>
              <w:t>Межведомственное сотрудничество и взаимодействие</w:t>
            </w:r>
          </w:p>
          <w:p w14:paraId="60ECCEA1" w14:textId="77777777" w:rsidR="00DD17CA" w:rsidRDefault="00DD17CA">
            <w:pPr>
              <w:spacing w:after="0"/>
              <w:jc w:val="both"/>
            </w:pPr>
            <w:r>
              <w:t>- Разработка образовательных проектов для посетителей музея с учетом задач, ресурсов и возможностей различных департаментов социальной сферы;</w:t>
            </w:r>
          </w:p>
          <w:p w14:paraId="77BFF09E" w14:textId="77777777" w:rsidR="00DD17CA" w:rsidRDefault="00DD17CA">
            <w:pPr>
              <w:spacing w:after="0"/>
              <w:jc w:val="both"/>
            </w:pPr>
            <w:r>
              <w:t>- Примеры межведомственных проектов ГМЗ «Царицыно» с Департаментами образования и науки, здравоохранения, труда и социальной защиты населения и др.;</w:t>
            </w:r>
          </w:p>
          <w:p w14:paraId="197EE073" w14:textId="77777777" w:rsidR="00DD17CA" w:rsidRDefault="00DD17CA">
            <w:pPr>
              <w:spacing w:after="0"/>
              <w:jc w:val="both"/>
            </w:pPr>
            <w:r>
              <w:t>- Музей и школа. Учебный день в музее, Московская электронная школа, Московский экскурсовод, Олимпиада «Музеи. Парки. Усадьбы», «Наследие и наследники».</w:t>
            </w:r>
          </w:p>
        </w:tc>
      </w:tr>
      <w:tr w:rsidR="00DD17CA" w14:paraId="09784569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77A6" w14:textId="77777777" w:rsidR="00DD17CA" w:rsidRDefault="00DD17CA">
            <w:pPr>
              <w:spacing w:after="0"/>
              <w:jc w:val="center"/>
            </w:pPr>
            <w:r>
              <w:t>Работа музея с местным и профессиональным сообществом</w:t>
            </w:r>
          </w:p>
          <w:p w14:paraId="2106FA64" w14:textId="77777777" w:rsidR="00DD17CA" w:rsidRDefault="00DD17CA">
            <w:pPr>
              <w:spacing w:after="0"/>
            </w:pPr>
            <w:r>
              <w:t>- Опыт взаимодействия с местным и профессиональным сообществом на примере проектов «Старожилы», «Клуб друзей «Царицына» и др.</w:t>
            </w:r>
          </w:p>
          <w:p w14:paraId="23C09523" w14:textId="77777777" w:rsidR="00DD17CA" w:rsidRDefault="00DD17CA">
            <w:pPr>
              <w:spacing w:after="0"/>
            </w:pPr>
            <w:r>
              <w:rPr>
                <w:szCs w:val="22"/>
              </w:rPr>
              <w:t>- Диалог с посетителем (партиципаторность).</w:t>
            </w:r>
          </w:p>
        </w:tc>
      </w:tr>
      <w:tr w:rsidR="00DD17CA" w14:paraId="77DFCED1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13714" w14:textId="77777777" w:rsidR="00DD17CA" w:rsidRDefault="00DD17CA">
            <w:pPr>
              <w:spacing w:after="0"/>
              <w:jc w:val="center"/>
            </w:pPr>
            <w:r>
              <w:t xml:space="preserve">Музейный </w:t>
            </w:r>
            <w:r>
              <w:rPr>
                <w:lang w:val="en-US"/>
              </w:rPr>
              <w:t>PR</w:t>
            </w:r>
            <w:r>
              <w:t>:</w:t>
            </w:r>
          </w:p>
          <w:p w14:paraId="54FAD694" w14:textId="77777777" w:rsidR="00DD17CA" w:rsidRDefault="00DD17CA">
            <w:pPr>
              <w:spacing w:after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Как работает пресс-служба большого современного музея? </w:t>
            </w:r>
          </w:p>
          <w:p w14:paraId="3606BD37" w14:textId="77777777" w:rsidR="00DD17CA" w:rsidRDefault="00DD17CA">
            <w:pPr>
              <w:spacing w:after="0"/>
              <w:jc w:val="both"/>
            </w:pPr>
            <w:r>
              <w:rPr>
                <w:color w:val="000000"/>
                <w:shd w:val="clear" w:color="auto" w:fill="FFFFFF"/>
              </w:rPr>
              <w:t xml:space="preserve"> - Разбор отдельных случаев в музейной практике — на примере отдельных выставочных проектов, описываемых с разных точек зрения (интересная тема, знаменитый куратор, оригинальные экспонаты и так далее).</w:t>
            </w:r>
          </w:p>
        </w:tc>
      </w:tr>
      <w:tr w:rsidR="00DD17CA" w14:paraId="1980641E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C5EB" w14:textId="77777777" w:rsidR="00DD17CA" w:rsidRDefault="00DD17CA">
            <w:pPr>
              <w:spacing w:after="0"/>
              <w:jc w:val="center"/>
            </w:pPr>
            <w:r>
              <w:t>Экспозиция музея, как результат диалога с   местным сообществом</w:t>
            </w:r>
          </w:p>
          <w:p w14:paraId="585B73FA" w14:textId="77777777" w:rsidR="00DD17CA" w:rsidRDefault="00DD17CA">
            <w:pPr>
              <w:spacing w:after="0"/>
            </w:pPr>
            <w:r>
              <w:t>- Осмотр Экспозиции «Дачное Царицыно».</w:t>
            </w:r>
          </w:p>
          <w:p w14:paraId="477D3315" w14:textId="77777777" w:rsidR="00DD17CA" w:rsidRDefault="00DD17CA">
            <w:pPr>
              <w:spacing w:after="0"/>
            </w:pPr>
            <w:r>
              <w:t>- Обоснование и разбор выбранных тем, учет тем при использовании в других музейных продуктах.</w:t>
            </w:r>
          </w:p>
          <w:p w14:paraId="291D90BC" w14:textId="77777777" w:rsidR="00DD17CA" w:rsidRDefault="00DD17CA">
            <w:pPr>
              <w:spacing w:after="0"/>
            </w:pPr>
            <w:r>
              <w:t>- Обсуждение с куратором выбранных тем, целей и задач экспозиции с учетом вектора краеведения.</w:t>
            </w:r>
          </w:p>
        </w:tc>
      </w:tr>
      <w:tr w:rsidR="00DD17CA" w14:paraId="0109DB8F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5FF5" w14:textId="77777777" w:rsidR="00DD17CA" w:rsidRDefault="00DD17CA">
            <w:pPr>
              <w:spacing w:after="0"/>
              <w:jc w:val="center"/>
            </w:pPr>
            <w:r>
              <w:t>Мультимедийная составляющая в экспозициях: от дополнительного источника информации к произведению искусства</w:t>
            </w:r>
          </w:p>
          <w:p w14:paraId="15483437" w14:textId="77777777" w:rsidR="00DD17CA" w:rsidRDefault="00DD17CA">
            <w:pPr>
              <w:spacing w:after="0"/>
            </w:pPr>
            <w:r>
              <w:t xml:space="preserve">- Осмотр экспозиций «Царицыно Екатерины </w:t>
            </w:r>
            <w:r>
              <w:rPr>
                <w:lang w:val="en-US"/>
              </w:rPr>
              <w:t>II</w:t>
            </w:r>
            <w:r>
              <w:t>» и Детский музей.</w:t>
            </w:r>
          </w:p>
          <w:p w14:paraId="0E07DF46" w14:textId="77777777" w:rsidR="00DD17CA" w:rsidRDefault="00DD17CA">
            <w:pPr>
              <w:spacing w:after="0"/>
            </w:pPr>
            <w:r>
              <w:t>- Разбор задач, которые решаются мультимедийными средствами.</w:t>
            </w:r>
          </w:p>
          <w:p w14:paraId="5F0D4A3C" w14:textId="77777777" w:rsidR="00DD17CA" w:rsidRDefault="00DD17CA">
            <w:pPr>
              <w:spacing w:after="0"/>
            </w:pPr>
            <w:r>
              <w:t xml:space="preserve">- Обоснование решений мультимедийных элементов экспозиции согласно задачам, которые стоят перед ними. </w:t>
            </w:r>
          </w:p>
          <w:p w14:paraId="1BE5B66B" w14:textId="77777777" w:rsidR="00DD17CA" w:rsidRDefault="00DD17CA">
            <w:pPr>
              <w:spacing w:after="0"/>
            </w:pPr>
            <w:r>
              <w:t>- Взаимоотношение памятников искусств и мультимедийных продуктов.</w:t>
            </w:r>
          </w:p>
        </w:tc>
      </w:tr>
      <w:tr w:rsidR="00DD17CA" w14:paraId="12BE7419" w14:textId="77777777" w:rsidTr="00DD17CA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44E9" w14:textId="77777777" w:rsidR="00DD17CA" w:rsidRDefault="00DD17CA">
            <w:pPr>
              <w:spacing w:after="0"/>
              <w:jc w:val="center"/>
            </w:pPr>
            <w:r>
              <w:t>Актуальные юридические аспекты деятельности современного музея</w:t>
            </w:r>
          </w:p>
          <w:p w14:paraId="4BF95378" w14:textId="77777777" w:rsidR="00DD17CA" w:rsidRDefault="00DD17CA">
            <w:pPr>
              <w:spacing w:after="0"/>
            </w:pPr>
            <w:r>
              <w:t>- Авторские права.</w:t>
            </w:r>
          </w:p>
          <w:p w14:paraId="3703FE9B" w14:textId="77777777" w:rsidR="00DD17CA" w:rsidRDefault="00DD17CA">
            <w:pPr>
              <w:spacing w:after="0"/>
            </w:pPr>
            <w:r>
              <w:t xml:space="preserve">- Расторжение и изменения договоров в связи с распространением коронавирусной инфекции. </w:t>
            </w:r>
          </w:p>
          <w:p w14:paraId="2F4B5C3F" w14:textId="77777777" w:rsidR="00DD17CA" w:rsidRDefault="00DD17CA">
            <w:pPr>
              <w:spacing w:after="0"/>
            </w:pPr>
            <w:r>
              <w:t>- Перевод сотрудников на дистанционную работу.</w:t>
            </w:r>
          </w:p>
          <w:p w14:paraId="791EB1DA" w14:textId="77777777" w:rsidR="00DD17CA" w:rsidRDefault="00DD17CA">
            <w:pPr>
              <w:spacing w:after="0"/>
            </w:pPr>
            <w:r>
              <w:t>- Особенности регионального законодательства в области культуры и природоохранных территорий.</w:t>
            </w:r>
          </w:p>
        </w:tc>
      </w:tr>
    </w:tbl>
    <w:p w14:paraId="3DDE5841" w14:textId="77777777" w:rsidR="00CA5017" w:rsidRPr="00DD17CA" w:rsidRDefault="00CA5017" w:rsidP="00DD17CA"/>
    <w:sectPr w:rsidR="00CA5017" w:rsidRPr="00DD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7CA"/>
    <w:rsid w:val="006F5742"/>
    <w:rsid w:val="00CA5017"/>
    <w:rsid w:val="00D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8C52"/>
  <w15:chartTrackingRefBased/>
  <w15:docId w15:val="{531A1557-DE54-4A96-9FE6-7EB351F2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7CA"/>
    <w:pPr>
      <w:spacing w:after="200"/>
    </w:pPr>
    <w:rPr>
      <w:rFonts w:eastAsia="Calibri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7C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DD17CA"/>
    <w:pPr>
      <w:spacing w:line="240" w:lineRule="auto"/>
    </w:pPr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Владимирова Ольга Евгеньевна</dc:creator>
  <cp:keywords/>
  <dc:description/>
  <cp:lastModifiedBy>Владимирова Ольга Евгеньевна</cp:lastModifiedBy>
  <cp:revision>3</cp:revision>
  <dcterms:created xsi:type="dcterms:W3CDTF">2021-02-05T08:31:00Z</dcterms:created>
  <dcterms:modified xsi:type="dcterms:W3CDTF">2021-02-05T08:35:00Z</dcterms:modified>
</cp:coreProperties>
</file>